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i w:val="0"/>
          <w:color w:val="1A3A5C"/>
          <w:sz w:val="56"/>
        </w:rPr>
        <w:t>CLOSEBLY</w:t>
      </w:r>
    </w:p>
    <w:p>
      <w:pPr>
        <w:jc w:val="center"/>
      </w:pPr>
      <w:r>
        <w:rPr>
          <w:rFonts w:ascii="Calibri" w:hAnsi="Calibri"/>
          <w:b/>
          <w:i w:val="0"/>
          <w:color w:val="007A8A"/>
          <w:sz w:val="30"/>
        </w:rPr>
        <w:t>Transaction Coordinator Service Agreement</w:t>
      </w:r>
    </w:p>
    <w:p>
      <w:pPr>
        <w:jc w:val="center"/>
      </w:pPr>
      <w:r>
        <w:rPr>
          <w:rFonts w:ascii="Calibri" w:hAnsi="Calibri"/>
          <w:b w:val="0"/>
          <w:i/>
          <w:color w:val="4A4A4A"/>
          <w:sz w:val="20"/>
        </w:rPr>
        <w:t>closebly.com  ·  info@closebly.com</w:t>
      </w:r>
    </w:p>
    <w:p/>
    <w:tbl>
      <w:tblPr>
        <w:tblW w:type="auto" w:w="0"/>
        <w:jc w:val="center"/>
        <w:tblLook w:firstColumn="1" w:firstRow="1" w:lastColumn="0" w:lastRow="0" w:noHBand="0" w:noVBand="1" w:val="04A0"/>
      </w:tblPr>
      <w:tblGrid>
        <w:gridCol w:w="9360"/>
      </w:tblGrid>
      <w:tr>
        <w:tc>
          <w:tcPr>
            <w:tcW w:type="dxa" w:w="9360"/>
            <w:shd w:val="clear" w:color="auto" w:fill="FFF8E1"/>
            <w:tcBorders>
              <w:top w:val="single" w:sz="4" w:color="CCCCCC"/>
              <w:left w:val="single" w:sz="4" w:color="CCCCCC"/>
              <w:bottom w:val="single" w:sz="4" w:color="CCCCCC"/>
              <w:right w:val="single" w:sz="4" w:color="CCCCCC"/>
            </w:tcBorders>
          </w:tcPr>
          <w:p>
            <w:pPr>
              <w:spacing w:before="100" w:after="100"/>
              <w:ind w:left="144"/>
            </w:pPr>
            <w:r>
              <w:rPr>
                <w:rFonts w:ascii="Calibri" w:hAnsi="Calibri"/>
                <w:b/>
                <w:i w:val="0"/>
                <w:color w:val="1A3A5C"/>
                <w:sz w:val="19"/>
              </w:rPr>
              <w:t xml:space="preserve">Note to Agent: </w:t>
            </w:r>
            <w:r>
              <w:rPr>
                <w:rFonts w:ascii="Calibri" w:hAnsi="Calibri"/>
                <w:b w:val="0"/>
                <w:i/>
                <w:color w:val="4A4A4A"/>
                <w:sz w:val="19"/>
              </w:rPr>
              <w:t>This agreement authorizes Closebly to provide transaction coordinator services on your behalf and to charge the selected monthly subscription fee to your payment method on file. Please read carefully before signing.</w:t>
            </w:r>
          </w:p>
        </w:tc>
      </w:tr>
    </w:tbl>
    <w:p/>
    <w:p>
      <w:pPr>
        <w:spacing w:before="280" w:after="80"/>
        <w:pBdr>
          <w:bottom w:val="single" w:sz="4" w:space="3" w:color="007A8A"/>
        </w:pBdr>
      </w:pPr>
      <w:r>
        <w:rPr>
          <w:rFonts w:ascii="Calibri" w:hAnsi="Calibri"/>
          <w:b/>
          <w:i w:val="0"/>
          <w:color w:val="1A3A5C"/>
          <w:sz w:val="26"/>
        </w:rPr>
        <w:t>1. Parties</w:t>
      </w:r>
    </w:p>
    <w:p>
      <w:pPr>
        <w:spacing w:after="100" w:before="0"/>
      </w:pPr>
      <w:r>
        <w:rPr>
          <w:rFonts w:ascii="Calibri" w:hAnsi="Calibri"/>
          <w:b w:val="0"/>
          <w:i w:val="0"/>
          <w:color w:val="4A4A4A"/>
          <w:sz w:val="22"/>
        </w:rPr>
        <w:t>This Transaction Coordinator Service Agreement ("Agreement") is entered into as of the date signed below, by and between:</w:t>
      </w:r>
    </w:p>
    <w:p/>
    <w:p>
      <w:pPr>
        <w:spacing w:after="100" w:before="0"/>
      </w:pPr>
      <w:r>
        <w:rPr>
          <w:rFonts w:ascii="Calibri" w:hAnsi="Calibri"/>
          <w:b/>
          <w:i w:val="0"/>
          <w:color w:val="4A4A4A"/>
          <w:sz w:val="22"/>
        </w:rPr>
        <w:t xml:space="preserve">Service Provider:  </w:t>
      </w:r>
      <w:r>
        <w:rPr>
          <w:rFonts w:ascii="Calibri" w:hAnsi="Calibri"/>
          <w:b w:val="0"/>
          <w:i w:val="0"/>
          <w:color w:val="4A4A4A"/>
          <w:sz w:val="22"/>
        </w:rPr>
        <w:t>Closebly, operated by Rogelio Rives, Licensed Florida Real Estate Broker</w:t>
      </w:r>
    </w:p>
    <w:p>
      <w:pPr>
        <w:spacing w:after="200" w:before="0"/>
      </w:pPr>
      <w:r>
        <w:rPr>
          <w:rFonts w:ascii="Calibri" w:hAnsi="Calibri"/>
          <w:b w:val="0"/>
          <w:i w:val="0"/>
          <w:color w:val="4A4A4A"/>
          <w:sz w:val="22"/>
        </w:rPr>
        <w:t>info@closebly.com  |  closebly.com</w:t>
      </w:r>
    </w:p>
    <w:p>
      <w:pPr>
        <w:spacing w:after="100" w:before="0"/>
      </w:pPr>
      <w:r>
        <w:rPr>
          <w:rFonts w:ascii="Calibri" w:hAnsi="Calibri"/>
          <w:b/>
          <w:i w:val="0"/>
          <w:color w:val="4A4A4A"/>
          <w:sz w:val="22"/>
        </w:rPr>
        <w:t xml:space="preserve">Agent (Client):  </w:t>
      </w:r>
      <w:r>
        <w:rPr>
          <w:rFonts w:ascii="Calibri" w:hAnsi="Calibri"/>
          <w:b w:val="0"/>
          <w:i w:val="0"/>
          <w:color w:val="4A4A4A"/>
          <w:sz w:val="22"/>
        </w:rPr>
      </w:r>
    </w:p>
    <w:tbl>
      <w:tblPr>
        <w:tblW w:type="auto" w:w="0"/>
        <w:jc w:val="left"/>
        <w:tblLook w:firstColumn="1" w:firstRow="1" w:lastColumn="0" w:lastRow="0" w:noHBand="0" w:noVBand="1" w:val="04A0"/>
      </w:tblPr>
      <w:tblGrid>
        <w:gridCol w:w="4680"/>
        <w:gridCol w:w="4680"/>
      </w:tblGrid>
      <w:tr>
        <w:tc>
          <w:tcPr>
            <w:tcW w:type="dxa" w:w="2160"/>
            <w:shd w:val="clear" w:color="auto" w:fill="F2F4F7"/>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Agent Name:</w:t>
            </w:r>
          </w:p>
        </w:tc>
        <w:tc>
          <w:tcPr>
            <w:tcW w:type="dxa" w:w="7200"/>
            <w:shd w:val="clear" w:color="auto" w:fill="FFFFFF"/>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 xml:space="preserve">  </w:t>
            </w:r>
          </w:p>
        </w:tc>
      </w:tr>
      <w:tr>
        <w:tc>
          <w:tcPr>
            <w:tcW w:type="dxa" w:w="2160"/>
            <w:shd w:val="clear" w:color="auto" w:fill="F2F4F7"/>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Brokerage:</w:t>
            </w:r>
          </w:p>
        </w:tc>
        <w:tc>
          <w:tcPr>
            <w:tcW w:type="dxa" w:w="7200"/>
            <w:shd w:val="clear" w:color="auto" w:fill="FFFFFF"/>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 xml:space="preserve">  </w:t>
            </w:r>
          </w:p>
        </w:tc>
      </w:tr>
      <w:tr>
        <w:tc>
          <w:tcPr>
            <w:tcW w:type="dxa" w:w="2160"/>
            <w:shd w:val="clear" w:color="auto" w:fill="F2F4F7"/>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License No.:</w:t>
            </w:r>
          </w:p>
        </w:tc>
        <w:tc>
          <w:tcPr>
            <w:tcW w:type="dxa" w:w="7200"/>
            <w:shd w:val="clear" w:color="auto" w:fill="FFFFFF"/>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 xml:space="preserve">  </w:t>
            </w:r>
          </w:p>
        </w:tc>
      </w:tr>
    </w:tbl>
    <w:p>
      <w:pPr>
        <w:spacing w:before="280" w:after="80"/>
        <w:pBdr>
          <w:bottom w:val="single" w:sz="4" w:space="3" w:color="007A8A"/>
        </w:pBdr>
      </w:pPr>
      <w:r>
        <w:rPr>
          <w:rFonts w:ascii="Calibri" w:hAnsi="Calibri"/>
          <w:b/>
          <w:i w:val="0"/>
          <w:color w:val="1A3A5C"/>
          <w:sz w:val="26"/>
        </w:rPr>
        <w:t>2. Services</w:t>
      </w:r>
    </w:p>
    <w:p>
      <w:pPr>
        <w:spacing w:after="100" w:before="0"/>
      </w:pPr>
      <w:r>
        <w:rPr>
          <w:rFonts w:ascii="Calibri" w:hAnsi="Calibri"/>
          <w:b w:val="0"/>
          <w:i w:val="0"/>
          <w:color w:val="4A4A4A"/>
          <w:sz w:val="22"/>
        </w:rPr>
        <w:t>Closebly agrees to provide transaction coordinator services for Florida residential real estate transactions submitted by Agent during the active subscription period. Services include, but are not limited to:</w:t>
      </w:r>
    </w:p>
    <w:p>
      <w:pPr>
        <w:pStyle w:val="ListBullet"/>
        <w:spacing w:after="60" w:before="0"/>
        <w:ind w:left="360"/>
      </w:pPr>
      <w:r>
        <w:rPr>
          <w:rFonts w:ascii="Calibri" w:hAnsi="Calibri"/>
          <w:b w:val="0"/>
          <w:i w:val="0"/>
          <w:color w:val="4A4A4A"/>
          <w:sz w:val="21"/>
        </w:rPr>
        <w:t>Review of executed purchase contracts for completeness and key dates</w:t>
      </w:r>
    </w:p>
    <w:p>
      <w:pPr>
        <w:pStyle w:val="ListBullet"/>
        <w:spacing w:after="60" w:before="0"/>
        <w:ind w:left="360"/>
      </w:pPr>
      <w:r>
        <w:rPr>
          <w:rFonts w:ascii="Calibri" w:hAnsi="Calibri"/>
          <w:b w:val="0"/>
          <w:i w:val="0"/>
          <w:color w:val="4A4A4A"/>
          <w:sz w:val="21"/>
        </w:rPr>
        <w:t>Creation and distribution of a transaction timeline within 24 hours of contract receipt</w:t>
      </w:r>
    </w:p>
    <w:p>
      <w:pPr>
        <w:pStyle w:val="ListBullet"/>
        <w:spacing w:after="60" w:before="0"/>
        <w:ind w:left="360"/>
      </w:pPr>
      <w:r>
        <w:rPr>
          <w:rFonts w:ascii="Calibri" w:hAnsi="Calibri"/>
          <w:b w:val="0"/>
          <w:i w:val="0"/>
          <w:color w:val="4A4A4A"/>
          <w:sz w:val="21"/>
        </w:rPr>
        <w:t>Deadline tracking and proactive follow-up with all parties</w:t>
      </w:r>
    </w:p>
    <w:p>
      <w:pPr>
        <w:pStyle w:val="ListBullet"/>
        <w:spacing w:after="60" w:before="0"/>
        <w:ind w:left="360"/>
      </w:pPr>
      <w:r>
        <w:rPr>
          <w:rFonts w:ascii="Calibri" w:hAnsi="Calibri"/>
          <w:b w:val="0"/>
          <w:i w:val="0"/>
          <w:color w:val="4A4A4A"/>
          <w:sz w:val="21"/>
        </w:rPr>
        <w:t>Inspection scheduling coordination and repair addendum management</w:t>
      </w:r>
    </w:p>
    <w:p>
      <w:pPr>
        <w:pStyle w:val="ListBullet"/>
        <w:spacing w:after="60" w:before="0"/>
        <w:ind w:left="360"/>
      </w:pPr>
      <w:r>
        <w:rPr>
          <w:rFonts w:ascii="Calibri" w:hAnsi="Calibri"/>
          <w:b w:val="0"/>
          <w:i w:val="0"/>
          <w:color w:val="4A4A4A"/>
          <w:sz w:val="21"/>
        </w:rPr>
        <w:t>Lender, title company, and attorney communication and follow-up</w:t>
      </w:r>
    </w:p>
    <w:p>
      <w:pPr>
        <w:pStyle w:val="ListBullet"/>
        <w:spacing w:after="60" w:before="0"/>
        <w:ind w:left="360"/>
      </w:pPr>
      <w:r>
        <w:rPr>
          <w:rFonts w:ascii="Calibri" w:hAnsi="Calibri"/>
          <w:b w:val="0"/>
          <w:i w:val="0"/>
          <w:color w:val="4A4A4A"/>
          <w:sz w:val="21"/>
        </w:rPr>
        <w:t>Management of addenda, amendments, and extensions</w:t>
      </w:r>
    </w:p>
    <w:p>
      <w:pPr>
        <w:pStyle w:val="ListBullet"/>
        <w:spacing w:after="60" w:before="0"/>
        <w:ind w:left="360"/>
      </w:pPr>
      <w:r>
        <w:rPr>
          <w:rFonts w:ascii="Calibri" w:hAnsi="Calibri"/>
          <w:b w:val="0"/>
          <w:i w:val="0"/>
          <w:color w:val="4A4A4A"/>
          <w:sz w:val="21"/>
        </w:rPr>
        <w:t>Final walk-through scheduling and closing day coordination</w:t>
      </w:r>
    </w:p>
    <w:p>
      <w:pPr>
        <w:pStyle w:val="ListBullet"/>
        <w:spacing w:after="60" w:before="0"/>
        <w:ind w:left="360"/>
      </w:pPr>
      <w:r>
        <w:rPr>
          <w:rFonts w:ascii="Calibri" w:hAnsi="Calibri"/>
          <w:b w:val="0"/>
          <w:i w:val="0"/>
          <w:color w:val="4A4A4A"/>
          <w:sz w:val="21"/>
        </w:rPr>
        <w:t>Compliance file assembly and delivery at closing</w:t>
      </w:r>
    </w:p>
    <w:p/>
    <w:p>
      <w:pPr>
        <w:spacing w:after="100" w:before="0"/>
      </w:pPr>
      <w:r>
        <w:rPr>
          <w:rFonts w:ascii="Calibri" w:hAnsi="Calibri"/>
          <w:b w:val="0"/>
          <w:i/>
          <w:color w:val="4A4A4A"/>
          <w:sz w:val="22"/>
        </w:rPr>
        <w:t>Closebly provides administrative transaction coordination services only. Closebly does not provide legal advice, represent any party in a real estate transaction, negotiate on behalf of any party, or attend property showings or inspections.</w:t>
      </w:r>
    </w:p>
    <w:p>
      <w:pPr>
        <w:spacing w:before="280" w:after="80"/>
        <w:pBdr>
          <w:bottom w:val="single" w:sz="4" w:space="3" w:color="007A8A"/>
        </w:pBdr>
      </w:pPr>
      <w:r>
        <w:rPr>
          <w:rFonts w:ascii="Calibri" w:hAnsi="Calibri"/>
          <w:b/>
          <w:i w:val="0"/>
          <w:color w:val="1A3A5C"/>
          <w:sz w:val="26"/>
        </w:rPr>
        <w:t>3. Subscription Plan &amp; Payment Authorization</w:t>
      </w:r>
    </w:p>
    <w:p>
      <w:pPr>
        <w:spacing w:after="100" w:before="0"/>
      </w:pPr>
      <w:r>
        <w:rPr>
          <w:rFonts w:ascii="Calibri" w:hAnsi="Calibri"/>
          <w:b w:val="0"/>
          <w:i w:val="0"/>
          <w:color w:val="4A4A4A"/>
          <w:sz w:val="22"/>
        </w:rPr>
        <w:t>Agent selects the following monthly subscription plan:</w:t>
      </w:r>
    </w:p>
    <w:p/>
    <w:tbl>
      <w:tblPr>
        <w:tblW w:type="auto" w:w="0"/>
        <w:jc w:val="center"/>
        <w:tblLook w:firstColumn="1" w:firstRow="1" w:lastColumn="0" w:lastRow="0" w:noHBand="0" w:noVBand="1" w:val="04A0"/>
      </w:tblPr>
      <w:tblGrid>
        <w:gridCol w:w="3120"/>
        <w:gridCol w:w="3120"/>
        <w:gridCol w:w="3120"/>
      </w:tblGrid>
      <w:tr>
        <w:tc>
          <w:tcPr>
            <w:tcW w:type="dxa" w:w="864"/>
            <w:shd w:val="clear" w:color="auto" w:fill="1A3A5C"/>
            <w:tcBorders>
              <w:top w:val="single" w:sz="4" w:color="CCCCCC"/>
              <w:left w:val="single" w:sz="4" w:color="CCCCCC"/>
              <w:bottom w:val="single" w:sz="4" w:color="CCCCCC"/>
              <w:right w:val="single" w:sz="4" w:color="CCCCCC"/>
            </w:tcBorders>
          </w:tcPr>
          <w:p>
            <w:pPr>
              <w:spacing w:before="60" w:after="60"/>
              <w:jc w:val="center"/>
            </w:pPr>
            <w:r>
              <w:rPr>
                <w:rFonts w:ascii="Calibri" w:hAnsi="Calibri"/>
                <w:b/>
                <w:i w:val="0"/>
                <w:color w:val="FFFFFF"/>
                <w:sz w:val="20"/>
              </w:rPr>
              <w:t>Select</w:t>
            </w:r>
          </w:p>
        </w:tc>
        <w:tc>
          <w:tcPr>
            <w:tcW w:type="dxa" w:w="4032"/>
            <w:shd w:val="clear" w:color="auto" w:fill="1A3A5C"/>
            <w:tcBorders>
              <w:top w:val="single" w:sz="4" w:color="CCCCCC"/>
              <w:left w:val="single" w:sz="4" w:color="CCCCCC"/>
              <w:bottom w:val="single" w:sz="4" w:color="CCCCCC"/>
              <w:right w:val="single" w:sz="4" w:color="CCCCCC"/>
            </w:tcBorders>
          </w:tcPr>
          <w:p>
            <w:pPr>
              <w:spacing w:before="60" w:after="60"/>
              <w:jc w:val="center"/>
            </w:pPr>
            <w:r>
              <w:rPr>
                <w:rFonts w:ascii="Calibri" w:hAnsi="Calibri"/>
                <w:b/>
                <w:i w:val="0"/>
                <w:color w:val="FFFFFF"/>
                <w:sz w:val="20"/>
              </w:rPr>
              <w:t>Plan</w:t>
            </w:r>
          </w:p>
        </w:tc>
        <w:tc>
          <w:tcPr>
            <w:tcW w:type="dxa" w:w="4464"/>
            <w:shd w:val="clear" w:color="auto" w:fill="1A3A5C"/>
            <w:tcBorders>
              <w:top w:val="single" w:sz="4" w:color="CCCCCC"/>
              <w:left w:val="single" w:sz="4" w:color="CCCCCC"/>
              <w:bottom w:val="single" w:sz="4" w:color="CCCCCC"/>
              <w:right w:val="single" w:sz="4" w:color="CCCCCC"/>
            </w:tcBorders>
          </w:tcPr>
          <w:p>
            <w:pPr>
              <w:spacing w:before="60" w:after="60"/>
              <w:jc w:val="center"/>
            </w:pPr>
            <w:r>
              <w:rPr>
                <w:rFonts w:ascii="Calibri" w:hAnsi="Calibri"/>
                <w:b/>
                <w:i w:val="0"/>
                <w:color w:val="FFFFFF"/>
                <w:sz w:val="20"/>
              </w:rPr>
              <w:t>Price &amp; Transactions</w:t>
            </w:r>
          </w:p>
        </w:tc>
      </w:tr>
      <w:tr>
        <w:tc>
          <w:tcPr>
            <w:tcW w:type="dxa" w:w="3120"/>
            <w:shd w:val="clear" w:color="auto" w:fill="F2F4F7"/>
            <w:tcBorders>
              <w:top w:val="single" w:sz="4" w:color="CCCCCC"/>
              <w:left w:val="single" w:sz="4" w:color="CCCCCC"/>
              <w:bottom w:val="single" w:sz="4" w:color="CCCCCC"/>
              <w:right w:val="single" w:sz="4" w:color="CCCCCC"/>
            </w:tcBorders>
          </w:tcPr>
          <w:p>
            <w:pPr>
              <w:spacing w:before="80" w:after="80"/>
              <w:jc w:val="center"/>
            </w:pPr>
            <w:r>
              <w:rPr>
                <w:rFonts w:ascii="Calibri" w:hAnsi="Calibri"/>
                <w:b w:val="0"/>
                <w:i w:val="0"/>
                <w:color w:val="007A8A"/>
                <w:sz w:val="28"/>
              </w:rPr>
              <w:t>☐</w:t>
            </w:r>
          </w:p>
        </w:tc>
        <w:tc>
          <w:tcPr>
            <w:tcW w:type="dxa" w:w="3120"/>
            <w:shd w:val="clear" w:color="auto" w:fill="F2F4F7"/>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Hustler</w:t>
            </w:r>
          </w:p>
        </w:tc>
        <w:tc>
          <w:tcPr>
            <w:tcW w:type="dxa" w:w="3120"/>
            <w:shd w:val="clear" w:color="auto" w:fill="F2F4F7"/>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$249/month  —  up to 3 transactions per month</w:t>
            </w:r>
          </w:p>
        </w:tc>
      </w:tr>
      <w:tr>
        <w:tc>
          <w:tcPr>
            <w:tcW w:type="dxa" w:w="3120"/>
            <w:shd w:val="clear" w:color="auto" w:fill="FFFFFF"/>
            <w:tcBorders>
              <w:top w:val="single" w:sz="4" w:color="CCCCCC"/>
              <w:left w:val="single" w:sz="4" w:color="CCCCCC"/>
              <w:bottom w:val="single" w:sz="4" w:color="CCCCCC"/>
              <w:right w:val="single" w:sz="4" w:color="CCCCCC"/>
            </w:tcBorders>
          </w:tcPr>
          <w:p>
            <w:pPr>
              <w:spacing w:before="80" w:after="80"/>
              <w:jc w:val="center"/>
            </w:pPr>
            <w:r>
              <w:rPr>
                <w:rFonts w:ascii="Calibri" w:hAnsi="Calibri"/>
                <w:b w:val="0"/>
                <w:i w:val="0"/>
                <w:color w:val="007A8A"/>
                <w:sz w:val="28"/>
              </w:rPr>
              <w:t>☐</w:t>
            </w:r>
          </w:p>
        </w:tc>
        <w:tc>
          <w:tcPr>
            <w:tcW w:type="dxa" w:w="3120"/>
            <w:shd w:val="clear" w:color="auto" w:fill="FFFFFF"/>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Closer</w:t>
            </w:r>
          </w:p>
        </w:tc>
        <w:tc>
          <w:tcPr>
            <w:tcW w:type="dxa" w:w="3120"/>
            <w:shd w:val="clear" w:color="auto" w:fill="FFFFFF"/>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$399/month  —  up to 5 transactions per month</w:t>
            </w:r>
          </w:p>
        </w:tc>
      </w:tr>
      <w:tr>
        <w:tc>
          <w:tcPr>
            <w:tcW w:type="dxa" w:w="3120"/>
            <w:shd w:val="clear" w:color="auto" w:fill="F2F4F7"/>
            <w:tcBorders>
              <w:top w:val="single" w:sz="4" w:color="CCCCCC"/>
              <w:left w:val="single" w:sz="4" w:color="CCCCCC"/>
              <w:bottom w:val="single" w:sz="4" w:color="CCCCCC"/>
              <w:right w:val="single" w:sz="4" w:color="CCCCCC"/>
            </w:tcBorders>
          </w:tcPr>
          <w:p>
            <w:pPr>
              <w:spacing w:before="80" w:after="80"/>
              <w:jc w:val="center"/>
            </w:pPr>
            <w:r>
              <w:rPr>
                <w:rFonts w:ascii="Calibri" w:hAnsi="Calibri"/>
                <w:b w:val="0"/>
                <w:i w:val="0"/>
                <w:color w:val="007A8A"/>
                <w:sz w:val="28"/>
              </w:rPr>
              <w:t>☐</w:t>
            </w:r>
          </w:p>
        </w:tc>
        <w:tc>
          <w:tcPr>
            <w:tcW w:type="dxa" w:w="3120"/>
            <w:shd w:val="clear" w:color="auto" w:fill="F2F4F7"/>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Rainmaker</w:t>
            </w:r>
          </w:p>
        </w:tc>
        <w:tc>
          <w:tcPr>
            <w:tcW w:type="dxa" w:w="3120"/>
            <w:shd w:val="clear" w:color="auto" w:fill="F2F4F7"/>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$649/month  —  up to 9 transactions per month</w:t>
            </w:r>
          </w:p>
        </w:tc>
      </w:tr>
      <w:tr>
        <w:tc>
          <w:tcPr>
            <w:tcW w:type="dxa" w:w="3120"/>
            <w:shd w:val="clear" w:color="auto" w:fill="FFFFFF"/>
            <w:tcBorders>
              <w:top w:val="single" w:sz="4" w:color="CCCCCC"/>
              <w:left w:val="single" w:sz="4" w:color="CCCCCC"/>
              <w:bottom w:val="single" w:sz="4" w:color="CCCCCC"/>
              <w:right w:val="single" w:sz="4" w:color="CCCCCC"/>
            </w:tcBorders>
          </w:tcPr>
          <w:p>
            <w:pPr>
              <w:spacing w:before="80" w:after="80"/>
              <w:jc w:val="center"/>
            </w:pPr>
            <w:r>
              <w:rPr>
                <w:rFonts w:ascii="Calibri" w:hAnsi="Calibri"/>
                <w:b w:val="0"/>
                <w:i w:val="0"/>
                <w:color w:val="007A8A"/>
                <w:sz w:val="28"/>
              </w:rPr>
              <w:t>☐</w:t>
            </w:r>
          </w:p>
        </w:tc>
        <w:tc>
          <w:tcPr>
            <w:tcW w:type="dxa" w:w="3120"/>
            <w:shd w:val="clear" w:color="auto" w:fill="FFFFFF"/>
            <w:tcBorders>
              <w:top w:val="single" w:sz="4" w:color="CCCCCC"/>
              <w:left w:val="single" w:sz="4" w:color="CCCCCC"/>
              <w:bottom w:val="single" w:sz="4" w:color="CCCCCC"/>
              <w:right w:val="single" w:sz="4" w:color="CCCCCC"/>
            </w:tcBorders>
          </w:tcPr>
          <w:p>
            <w:pPr>
              <w:spacing w:before="80" w:after="80"/>
              <w:ind w:left="72"/>
            </w:pPr>
            <w:r>
              <w:rPr>
                <w:rFonts w:ascii="Calibri" w:hAnsi="Calibri"/>
                <w:b/>
                <w:i w:val="0"/>
                <w:color w:val="1A3A5C"/>
                <w:sz w:val="21"/>
              </w:rPr>
              <w:t>Team / Brokerage</w:t>
            </w:r>
          </w:p>
        </w:tc>
        <w:tc>
          <w:tcPr>
            <w:tcW w:type="dxa" w:w="3120"/>
            <w:shd w:val="clear" w:color="auto" w:fill="FFFFFF"/>
            <w:tcBorders>
              <w:top w:val="single" w:sz="4" w:color="CCCCCC"/>
              <w:left w:val="single" w:sz="4" w:color="CCCCCC"/>
              <w:bottom w:val="single" w:sz="4" w:color="CCCCCC"/>
              <w:right w:val="single" w:sz="4" w:color="CCCCCC"/>
            </w:tcBorders>
          </w:tcPr>
          <w:p>
            <w:pPr>
              <w:spacing w:before="80" w:after="80"/>
            </w:pPr>
            <w:r>
              <w:rPr>
                <w:rFonts w:ascii="Calibri" w:hAnsi="Calibri"/>
                <w:b w:val="0"/>
                <w:i w:val="0"/>
                <w:color w:val="4A4A4A"/>
                <w:sz w:val="21"/>
              </w:rPr>
              <w:t>$149/agent/month  —  minimum 10 agents  —  2 transactions/agent/month</w:t>
            </w:r>
          </w:p>
        </w:tc>
      </w:tr>
    </w:tbl>
    <w:p/>
    <w:p>
      <w:pPr>
        <w:spacing w:after="100" w:before="0"/>
      </w:pPr>
      <w:r>
        <w:rPr>
          <w:rFonts w:ascii="Calibri" w:hAnsi="Calibri"/>
          <w:b/>
          <w:i w:val="0"/>
          <w:color w:val="4A4A4A"/>
          <w:sz w:val="22"/>
        </w:rPr>
        <w:t xml:space="preserve">Payment Authorization:  </w:t>
      </w:r>
      <w:r>
        <w:rPr>
          <w:rFonts w:ascii="Calibri" w:hAnsi="Calibri"/>
          <w:b w:val="0"/>
          <w:i w:val="0"/>
          <w:color w:val="4A4A4A"/>
          <w:sz w:val="22"/>
        </w:rPr>
        <w:t>By signing this Agreement, Agent authorizes Closebly to charge the selected monthly subscription fee to Agent's payment method on file on the same date each month, beginning on the date of signing. Agent acknowledges that:</w:t>
      </w:r>
    </w:p>
    <w:p>
      <w:pPr>
        <w:pStyle w:val="ListBullet"/>
        <w:spacing w:after="60" w:before="0"/>
        <w:ind w:left="360"/>
      </w:pPr>
      <w:r>
        <w:rPr>
          <w:rFonts w:ascii="Calibri" w:hAnsi="Calibri"/>
          <w:b w:val="0"/>
          <w:i w:val="0"/>
          <w:color w:val="4A4A4A"/>
          <w:sz w:val="21"/>
        </w:rPr>
        <w:t>Subscription fees are due and charged at the beginning of each billing cycle, before services are rendered.</w:t>
      </w:r>
    </w:p>
    <w:p>
      <w:pPr>
        <w:pStyle w:val="ListBullet"/>
        <w:spacing w:after="60" w:before="0"/>
        <w:ind w:left="360"/>
      </w:pPr>
      <w:r>
        <w:rPr>
          <w:rFonts w:ascii="Calibri" w:hAnsi="Calibri"/>
          <w:b w:val="0"/>
          <w:i w:val="0"/>
          <w:color w:val="4A4A4A"/>
          <w:sz w:val="21"/>
        </w:rPr>
        <w:t>The subscription renews automatically each month until cancelled in accordance with Section 5.</w:t>
      </w:r>
    </w:p>
    <w:p>
      <w:pPr>
        <w:pStyle w:val="ListBullet"/>
        <w:spacing w:after="60" w:before="0"/>
        <w:ind w:left="360"/>
      </w:pPr>
      <w:r>
        <w:rPr>
          <w:rFonts w:ascii="Calibri" w:hAnsi="Calibri"/>
          <w:b w:val="0"/>
          <w:i w:val="0"/>
          <w:color w:val="4A4A4A"/>
          <w:sz w:val="21"/>
        </w:rPr>
        <w:t>All fees are non-refundable once the billing cycle has begun.</w:t>
      </w:r>
    </w:p>
    <w:p>
      <w:pPr>
        <w:pStyle w:val="ListBullet"/>
        <w:spacing w:after="60" w:before="0"/>
        <w:ind w:left="360"/>
      </w:pPr>
      <w:r>
        <w:rPr>
          <w:rFonts w:ascii="Calibri" w:hAnsi="Calibri"/>
          <w:b w:val="0"/>
          <w:i w:val="0"/>
          <w:color w:val="4A4A4A"/>
          <w:sz w:val="21"/>
        </w:rPr>
        <w:t>Agent is responsible for maintaining a valid payment method on file.</w:t>
      </w:r>
    </w:p>
    <w:p>
      <w:pPr>
        <w:spacing w:before="280" w:after="80"/>
        <w:pBdr>
          <w:bottom w:val="single" w:sz="4" w:space="3" w:color="007A8A"/>
        </w:pBdr>
      </w:pPr>
      <w:r>
        <w:rPr>
          <w:rFonts w:ascii="Calibri" w:hAnsi="Calibri"/>
          <w:b/>
          <w:i w:val="0"/>
          <w:color w:val="1A3A5C"/>
          <w:sz w:val="26"/>
        </w:rPr>
        <w:t>4. Overage Charges</w:t>
      </w:r>
    </w:p>
    <w:p>
      <w:pPr>
        <w:spacing w:after="100" w:before="0"/>
      </w:pPr>
      <w:r>
        <w:rPr>
          <w:rFonts w:ascii="Calibri" w:hAnsi="Calibri"/>
          <w:b w:val="0"/>
          <w:i w:val="0"/>
          <w:color w:val="4A4A4A"/>
          <w:sz w:val="22"/>
        </w:rPr>
        <w:t>If Agent submits more transactions in a calendar month than included in the selected plan, each additional transaction will be charged at a rate of $149 per transaction. Overage charges will be billed automatically to the payment method on file at the end of the billing cycle in which the overage occurred. Agent will be notified by email prior to any overage charge being processed.</w:t>
      </w:r>
    </w:p>
    <w:p>
      <w:pPr>
        <w:spacing w:before="280" w:after="80"/>
        <w:pBdr>
          <w:bottom w:val="single" w:sz="4" w:space="3" w:color="007A8A"/>
        </w:pBdr>
      </w:pPr>
      <w:r>
        <w:rPr>
          <w:rFonts w:ascii="Calibri" w:hAnsi="Calibri"/>
          <w:b/>
          <w:i w:val="0"/>
          <w:color w:val="1A3A5C"/>
          <w:sz w:val="26"/>
        </w:rPr>
        <w:t>5. Term &amp; Cancellation</w:t>
      </w:r>
    </w:p>
    <w:p>
      <w:pPr>
        <w:spacing w:after="100" w:before="0"/>
      </w:pPr>
      <w:r>
        <w:rPr>
          <w:rFonts w:ascii="Calibri" w:hAnsi="Calibri"/>
          <w:b w:val="0"/>
          <w:i w:val="0"/>
          <w:color w:val="4A4A4A"/>
          <w:sz w:val="22"/>
        </w:rPr>
        <w:t>This Agreement is month-to-month and begins on the date of signing. Either party may cancel this Agreement by providing written notice to the other party at least 5 business days before the next billing date. Cancellation takes effect at the end of the current billing cycle. Agent will retain access to all services through the end of the paid period. No partial-month refunds will be issued.</w:t>
      </w:r>
    </w:p>
    <w:p>
      <w:pPr>
        <w:spacing w:before="280" w:after="80"/>
        <w:pBdr>
          <w:bottom w:val="single" w:sz="4" w:space="3" w:color="007A8A"/>
        </w:pBdr>
      </w:pPr>
      <w:r>
        <w:rPr>
          <w:rFonts w:ascii="Calibri" w:hAnsi="Calibri"/>
          <w:b/>
          <w:i w:val="0"/>
          <w:color w:val="1A3A5C"/>
          <w:sz w:val="26"/>
        </w:rPr>
        <w:t>6. Agent Responsibilities</w:t>
      </w:r>
    </w:p>
    <w:p>
      <w:pPr>
        <w:spacing w:after="100" w:before="0"/>
      </w:pPr>
      <w:r>
        <w:rPr>
          <w:rFonts w:ascii="Calibri" w:hAnsi="Calibri"/>
          <w:b w:val="0"/>
          <w:i w:val="0"/>
          <w:color w:val="4A4A4A"/>
          <w:sz w:val="22"/>
        </w:rPr>
        <w:t>Agent agrees to:</w:t>
      </w:r>
    </w:p>
    <w:p>
      <w:pPr>
        <w:pStyle w:val="ListBullet"/>
        <w:spacing w:after="60" w:before="0"/>
        <w:ind w:left="360"/>
      </w:pPr>
      <w:r>
        <w:rPr>
          <w:rFonts w:ascii="Calibri" w:hAnsi="Calibri"/>
          <w:b w:val="0"/>
          <w:i w:val="0"/>
          <w:color w:val="4A4A4A"/>
          <w:sz w:val="21"/>
        </w:rPr>
        <w:t>Submit only fully executed contracts with all required signatures and dates</w:t>
      </w:r>
    </w:p>
    <w:p>
      <w:pPr>
        <w:pStyle w:val="ListBullet"/>
        <w:spacing w:after="60" w:before="0"/>
        <w:ind w:left="360"/>
      </w:pPr>
      <w:r>
        <w:rPr>
          <w:rFonts w:ascii="Calibri" w:hAnsi="Calibri"/>
          <w:b w:val="0"/>
          <w:i w:val="0"/>
          <w:color w:val="4A4A4A"/>
          <w:sz w:val="21"/>
        </w:rPr>
        <w:t>Provide accurate and complete transaction information at the time of submission</w:t>
      </w:r>
    </w:p>
    <w:p>
      <w:pPr>
        <w:pStyle w:val="ListBullet"/>
        <w:spacing w:after="60" w:before="0"/>
        <w:ind w:left="360"/>
      </w:pPr>
      <w:r>
        <w:rPr>
          <w:rFonts w:ascii="Calibri" w:hAnsi="Calibri"/>
          <w:b w:val="0"/>
          <w:i w:val="0"/>
          <w:color w:val="4A4A4A"/>
          <w:sz w:val="21"/>
        </w:rPr>
        <w:t>Respond to Closebly's requests for information or approvals in a timely manner</w:t>
      </w:r>
    </w:p>
    <w:p>
      <w:pPr>
        <w:pStyle w:val="ListBullet"/>
        <w:spacing w:after="60" w:before="0"/>
        <w:ind w:left="360"/>
      </w:pPr>
      <w:r>
        <w:rPr>
          <w:rFonts w:ascii="Calibri" w:hAnsi="Calibri"/>
          <w:b w:val="0"/>
          <w:i w:val="0"/>
          <w:color w:val="4A4A4A"/>
          <w:sz w:val="21"/>
        </w:rPr>
        <w:t>Maintain responsibility for all fiduciary duties to their clients</w:t>
      </w:r>
    </w:p>
    <w:p>
      <w:pPr>
        <w:pStyle w:val="ListBullet"/>
        <w:spacing w:after="60" w:before="0"/>
        <w:ind w:left="360"/>
      </w:pPr>
      <w:r>
        <w:rPr>
          <w:rFonts w:ascii="Calibri" w:hAnsi="Calibri"/>
          <w:b w:val="0"/>
          <w:i w:val="0"/>
          <w:color w:val="4A4A4A"/>
          <w:sz w:val="21"/>
        </w:rPr>
        <w:t>Notify Closebly of any changes to the transaction that affect deadlines or parties</w:t>
      </w:r>
    </w:p>
    <w:p>
      <w:pPr>
        <w:pStyle w:val="ListBullet"/>
        <w:spacing w:after="60" w:before="0"/>
        <w:ind w:left="360"/>
      </w:pPr>
      <w:r>
        <w:rPr>
          <w:rFonts w:ascii="Calibri" w:hAnsi="Calibri"/>
          <w:b w:val="0"/>
          <w:i w:val="0"/>
          <w:color w:val="4A4A4A"/>
          <w:sz w:val="21"/>
        </w:rPr>
        <w:t>Maintain an active, valid Florida real estate license throughout the term of this Agreement</w:t>
      </w:r>
    </w:p>
    <w:p>
      <w:pPr>
        <w:spacing w:before="280" w:after="80"/>
        <w:pBdr>
          <w:bottom w:val="single" w:sz="4" w:space="3" w:color="007A8A"/>
        </w:pBdr>
      </w:pPr>
      <w:r>
        <w:rPr>
          <w:rFonts w:ascii="Calibri" w:hAnsi="Calibri"/>
          <w:b/>
          <w:i w:val="0"/>
          <w:color w:val="1A3A5C"/>
          <w:sz w:val="26"/>
        </w:rPr>
        <w:t>7. Independent Contractor</w:t>
      </w:r>
    </w:p>
    <w:p>
      <w:pPr>
        <w:spacing w:after="100" w:before="0"/>
      </w:pPr>
      <w:r>
        <w:rPr>
          <w:rFonts w:ascii="Calibri" w:hAnsi="Calibri"/>
          <w:b w:val="0"/>
          <w:i w:val="0"/>
          <w:color w:val="4A4A4A"/>
          <w:sz w:val="22"/>
        </w:rPr>
        <w:t>Closebly is an independent contractor and not an employee, partner, or agent of Agent or Agent's brokerage. Closebly does not represent any buyer or seller in a transaction. Nothing in this Agreement creates an employment relationship, joint venture, or partnership between the parties.</w:t>
      </w:r>
    </w:p>
    <w:p>
      <w:pPr>
        <w:spacing w:before="280" w:after="80"/>
        <w:pBdr>
          <w:bottom w:val="single" w:sz="4" w:space="3" w:color="007A8A"/>
        </w:pBdr>
      </w:pPr>
      <w:r>
        <w:rPr>
          <w:rFonts w:ascii="Calibri" w:hAnsi="Calibri"/>
          <w:b/>
          <w:i w:val="0"/>
          <w:color w:val="1A3A5C"/>
          <w:sz w:val="26"/>
        </w:rPr>
        <w:t>8. Limitation of Liability</w:t>
      </w:r>
    </w:p>
    <w:p>
      <w:pPr>
        <w:spacing w:after="100" w:before="0"/>
      </w:pPr>
      <w:r>
        <w:rPr>
          <w:rFonts w:ascii="Calibri" w:hAnsi="Calibri"/>
          <w:b w:val="0"/>
          <w:i w:val="0"/>
          <w:color w:val="4A4A4A"/>
          <w:sz w:val="22"/>
        </w:rPr>
        <w:t>Closebly's liability to Agent under this Agreement shall not exceed the total monthly subscription fees paid by Agent in the three (3) months preceding the claim. Closebly shall not be liable for any lost commissions, lost transactions, consequential, indirect, or punitive damages arising out of or related to this Agreement, even if Closebly has been advised of the possibility of such damages. Agent retains full responsibility for the outcome of their real estate transactions.</w:t>
      </w:r>
    </w:p>
    <w:p>
      <w:pPr>
        <w:spacing w:before="280" w:after="80"/>
        <w:pBdr>
          <w:bottom w:val="single" w:sz="4" w:space="3" w:color="007A8A"/>
        </w:pBdr>
      </w:pPr>
      <w:r>
        <w:rPr>
          <w:rFonts w:ascii="Calibri" w:hAnsi="Calibri"/>
          <w:b/>
          <w:i w:val="0"/>
          <w:color w:val="1A3A5C"/>
          <w:sz w:val="26"/>
        </w:rPr>
        <w:t>9. Confidentiality</w:t>
      </w:r>
    </w:p>
    <w:p>
      <w:pPr>
        <w:spacing w:after="100" w:before="0"/>
      </w:pPr>
      <w:r>
        <w:rPr>
          <w:rFonts w:ascii="Calibri" w:hAnsi="Calibri"/>
          <w:b w:val="0"/>
          <w:i w:val="0"/>
          <w:color w:val="4A4A4A"/>
          <w:sz w:val="22"/>
        </w:rPr>
        <w:t>Both parties agree to keep confidential any non-public information shared in connection with this Agreement, including client data, transaction details, and financial information. Closebly will handle all transaction and client information in compliance with applicable Florida law and will not disclose such information to any third party except as necessary to perform the services described herein.</w:t>
      </w:r>
    </w:p>
    <w:p>
      <w:pPr>
        <w:spacing w:before="280" w:after="80"/>
        <w:pBdr>
          <w:bottom w:val="single" w:sz="4" w:space="3" w:color="007A8A"/>
        </w:pBdr>
      </w:pPr>
      <w:r>
        <w:rPr>
          <w:rFonts w:ascii="Calibri" w:hAnsi="Calibri"/>
          <w:b/>
          <w:i w:val="0"/>
          <w:color w:val="1A3A5C"/>
          <w:sz w:val="26"/>
        </w:rPr>
        <w:t>10. Governing Law</w:t>
      </w:r>
    </w:p>
    <w:p>
      <w:pPr>
        <w:spacing w:after="100" w:before="0"/>
      </w:pPr>
      <w:r>
        <w:rPr>
          <w:rFonts w:ascii="Calibri" w:hAnsi="Calibri"/>
          <w:b w:val="0"/>
          <w:i w:val="0"/>
          <w:color w:val="4A4A4A"/>
          <w:sz w:val="22"/>
        </w:rPr>
        <w:t>This Agreement shall be governed by and construed in accordance with the laws of the State of Florida. Any disputes arising under this Agreement shall be resolved in the courts of the State of Florida. If any provision of this Agreement is found to be unenforceable, the remaining provisions shall remain in full force and effect.</w:t>
      </w:r>
    </w:p>
    <w:p>
      <w:pPr>
        <w:spacing w:before="280" w:after="80"/>
        <w:pBdr>
          <w:bottom w:val="single" w:sz="4" w:space="3" w:color="007A8A"/>
        </w:pBdr>
      </w:pPr>
      <w:r>
        <w:rPr>
          <w:rFonts w:ascii="Calibri" w:hAnsi="Calibri"/>
          <w:b/>
          <w:i w:val="0"/>
          <w:color w:val="1A3A5C"/>
          <w:sz w:val="26"/>
        </w:rPr>
        <w:t>11. Entire Agreement</w:t>
      </w:r>
    </w:p>
    <w:p>
      <w:pPr>
        <w:spacing w:after="100" w:before="0"/>
      </w:pPr>
      <w:r>
        <w:rPr>
          <w:rFonts w:ascii="Calibri" w:hAnsi="Calibri"/>
          <w:b w:val="0"/>
          <w:i w:val="0"/>
          <w:color w:val="4A4A4A"/>
          <w:sz w:val="22"/>
        </w:rPr>
        <w:t>This Agreement constitutes the entire agreement between the parties with respect to the subject matter hereof and supersedes all prior discussions, representations, and agreements. This Agreement may only be modified in writing signed by both parties.</w:t>
      </w:r>
    </w:p>
    <w:p/>
    <w:tbl>
      <w:tblPr>
        <w:tblW w:type="auto" w:w="0"/>
        <w:jc w:val="center"/>
        <w:tblLook w:firstColumn="1" w:firstRow="1" w:lastColumn="0" w:lastRow="0" w:noHBand="0" w:noVBand="1" w:val="04A0"/>
      </w:tblPr>
      <w:tblGrid>
        <w:gridCol w:w="9360"/>
      </w:tblGrid>
      <w:tr>
        <w:tc>
          <w:tcPr>
            <w:tcW w:type="dxa" w:w="9360"/>
            <w:shd w:val="clear" w:color="auto" w:fill="F2F4F7"/>
            <w:tcBorders>
              <w:top w:val="single" w:sz="4" w:color="CCCCCC"/>
              <w:left w:val="single" w:sz="4" w:color="CCCCCC"/>
              <w:bottom w:val="single" w:sz="4" w:color="CCCCCC"/>
              <w:right w:val="single" w:sz="4" w:color="CCCCCC"/>
            </w:tcBorders>
          </w:tcPr>
          <w:p>
            <w:pPr>
              <w:spacing w:before="100" w:after="100"/>
              <w:ind w:left="144"/>
            </w:pPr>
            <w:r>
              <w:rPr>
                <w:rFonts w:ascii="Calibri" w:hAnsi="Calibri"/>
                <w:b/>
                <w:i w:val="0"/>
                <w:color w:val="1A3A5C"/>
                <w:sz w:val="19"/>
              </w:rPr>
              <w:t xml:space="preserve">Attorney Review Recommended: </w:t>
            </w:r>
            <w:r>
              <w:rPr>
                <w:rFonts w:ascii="Calibri" w:hAnsi="Calibri"/>
                <w:b w:val="0"/>
                <w:i/>
                <w:color w:val="4A4A4A"/>
                <w:sz w:val="19"/>
              </w:rPr>
              <w:t>This agreement is a template and should be reviewed by a licensed Florida attorney before use. It does not constitute legal advice.</w:t>
            </w:r>
          </w:p>
        </w:tc>
      </w:tr>
    </w:tbl>
    <w:p>
      <w:r>
        <w:br w:type="page"/>
      </w:r>
    </w:p>
    <w:p>
      <w:pPr>
        <w:jc w:val="center"/>
      </w:pPr>
      <w:r>
        <w:rPr>
          <w:rFonts w:ascii="Calibri" w:hAnsi="Calibri"/>
          <w:b/>
          <w:i w:val="0"/>
          <w:color w:val="1A3A5C"/>
          <w:sz w:val="26"/>
        </w:rPr>
        <w:t>CLOSEBLY — Transaction Coordinator Service Agreement</w:t>
      </w:r>
    </w:p>
    <w:p>
      <w:pPr>
        <w:jc w:val="center"/>
      </w:pPr>
      <w:r>
        <w:rPr>
          <w:rFonts w:ascii="Calibri" w:hAnsi="Calibri"/>
          <w:b w:val="0"/>
          <w:i w:val="0"/>
          <w:color w:val="007A8A"/>
          <w:sz w:val="22"/>
        </w:rPr>
        <w:t>Signature Page</w:t>
      </w:r>
    </w:p>
    <w:p/>
    <w:p>
      <w:pPr>
        <w:spacing w:after="100" w:before="0"/>
      </w:pPr>
      <w:r>
        <w:rPr>
          <w:rFonts w:ascii="Calibri" w:hAnsi="Calibri"/>
          <w:b w:val="0"/>
          <w:i w:val="0"/>
          <w:color w:val="4A4A4A"/>
          <w:sz w:val="22"/>
        </w:rPr>
        <w:t>By signing below, both parties agree to the terms and conditions of this Agreement, including the monthly subscription payment authorization described in Section 3.</w:t>
      </w:r>
    </w:p>
    <w:p/>
    <w:tbl>
      <w:tblPr>
        <w:tblW w:type="auto" w:w="0"/>
        <w:jc w:val="center"/>
        <w:tblLook w:firstColumn="1" w:firstRow="1" w:lastColumn="0" w:lastRow="0" w:noHBand="0" w:noVBand="1" w:val="04A0"/>
      </w:tblPr>
      <w:tblGrid>
        <w:gridCol w:w="4680"/>
        <w:gridCol w:w="4680"/>
      </w:tblGrid>
      <w:tr>
        <w:tc>
          <w:tcPr>
            <w:tcW w:type="dxa" w:w="4608"/>
          </w:tcPr>
          <w:p>
            <w:pPr>
              <w:spacing w:before="80"/>
            </w:pPr>
            <w:r>
              <w:rPr>
                <w:rFonts w:ascii="Calibri" w:hAnsi="Calibri"/>
                <w:b/>
                <w:i w:val="0"/>
                <w:color w:val="007A8A"/>
                <w:sz w:val="18"/>
              </w:rPr>
              <w:t>SERVICE PROVIDER</w:t>
            </w:r>
          </w:p>
          <w:p>
            <w:pPr>
              <w:spacing w:before="200" w:after="0"/>
            </w:pPr>
            <w:r>
              <w:rPr>
                <w:rFonts w:ascii="Calibri" w:hAnsi="Calibri"/>
                <w:b/>
                <w:i w:val="0"/>
                <w:color w:val="1A3A5C"/>
                <w:sz w:val="19"/>
              </w:rPr>
              <w:t xml:space="preserve">Signature: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Printed Name:  </w:t>
            </w:r>
          </w:p>
          <w:p>
            <w:pPr>
              <w:spacing w:before="0" w:after="40"/>
            </w:pPr>
            <w:r>
              <w:rPr>
                <w:rFonts w:ascii="Calibri" w:hAnsi="Calibri"/>
                <w:b w:val="0"/>
                <w:i w:val="0"/>
                <w:color w:val="4A4A4A"/>
                <w:sz w:val="21"/>
              </w:rPr>
              <w:t>Rogelio Rives</w:t>
            </w:r>
          </w:p>
          <w:p>
            <w:pPr>
              <w:spacing w:before="200" w:after="0"/>
            </w:pPr>
            <w:r>
              <w:rPr>
                <w:rFonts w:ascii="Calibri" w:hAnsi="Calibri"/>
                <w:b/>
                <w:i w:val="0"/>
                <w:color w:val="1A3A5C"/>
                <w:sz w:val="19"/>
              </w:rPr>
              <w:t xml:space="preserve">Title / Brokerage:  </w:t>
            </w:r>
          </w:p>
          <w:p>
            <w:pPr>
              <w:spacing w:before="0" w:after="40"/>
            </w:pPr>
            <w:r>
              <w:rPr>
                <w:rFonts w:ascii="Calibri" w:hAnsi="Calibri"/>
                <w:b w:val="0"/>
                <w:i w:val="0"/>
                <w:color w:val="4A4A4A"/>
                <w:sz w:val="21"/>
              </w:rPr>
              <w:t>Closebly  |  Licensed Florida Broker</w:t>
            </w:r>
          </w:p>
          <w:p>
            <w:pPr>
              <w:spacing w:before="200" w:after="0"/>
            </w:pPr>
            <w:r>
              <w:rPr>
                <w:rFonts w:ascii="Calibri" w:hAnsi="Calibri"/>
                <w:b/>
                <w:i w:val="0"/>
                <w:color w:val="1A3A5C"/>
                <w:sz w:val="19"/>
              </w:rPr>
              <w:t xml:space="preserve">Date: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Email:  </w:t>
            </w:r>
          </w:p>
          <w:p>
            <w:pPr>
              <w:spacing w:before="0" w:after="40"/>
            </w:pPr>
            <w:r>
              <w:rPr>
                <w:rFonts w:ascii="Calibri" w:hAnsi="Calibri"/>
                <w:b w:val="0"/>
                <w:i w:val="0"/>
                <w:color w:val="1A3A5C"/>
                <w:sz w:val="21"/>
              </w:rPr>
              <w:t>________________________________________</w:t>
            </w:r>
          </w:p>
        </w:tc>
        <w:tc>
          <w:tcPr>
            <w:tcW w:type="dxa" w:w="4608"/>
          </w:tcPr>
          <w:p>
            <w:pPr>
              <w:spacing w:before="80"/>
            </w:pPr>
            <w:r>
              <w:rPr>
                <w:rFonts w:ascii="Calibri" w:hAnsi="Calibri"/>
                <w:b/>
                <w:i w:val="0"/>
                <w:color w:val="007A8A"/>
                <w:sz w:val="18"/>
              </w:rPr>
              <w:t>AGENT (CLIENT)</w:t>
            </w:r>
          </w:p>
          <w:p>
            <w:pPr>
              <w:spacing w:before="200" w:after="0"/>
            </w:pPr>
            <w:r>
              <w:rPr>
                <w:rFonts w:ascii="Calibri" w:hAnsi="Calibri"/>
                <w:b/>
                <w:i w:val="0"/>
                <w:color w:val="1A3A5C"/>
                <w:sz w:val="19"/>
              </w:rPr>
              <w:t xml:space="preserve">Signature: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Printed Name: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Title / Brokerage: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Date:  </w:t>
            </w:r>
          </w:p>
          <w:p>
            <w:pPr>
              <w:spacing w:before="0" w:after="40"/>
            </w:pPr>
            <w:r>
              <w:rPr>
                <w:rFonts w:ascii="Calibri" w:hAnsi="Calibri"/>
                <w:b w:val="0"/>
                <w:i w:val="0"/>
                <w:color w:val="1A3A5C"/>
                <w:sz w:val="21"/>
              </w:rPr>
              <w:t>________________________________________</w:t>
            </w:r>
          </w:p>
          <w:p>
            <w:pPr>
              <w:spacing w:before="200" w:after="0"/>
            </w:pPr>
            <w:r>
              <w:rPr>
                <w:rFonts w:ascii="Calibri" w:hAnsi="Calibri"/>
                <w:b/>
                <w:i w:val="0"/>
                <w:color w:val="1A3A5C"/>
                <w:sz w:val="19"/>
              </w:rPr>
              <w:t xml:space="preserve">Email:  </w:t>
            </w:r>
          </w:p>
          <w:p>
            <w:pPr>
              <w:spacing w:before="0" w:after="40"/>
            </w:pPr>
            <w:r>
              <w:rPr>
                <w:rFonts w:ascii="Calibri" w:hAnsi="Calibri"/>
                <w:b w:val="0"/>
                <w:i w:val="0"/>
                <w:color w:val="1A3A5C"/>
                <w:sz w:val="21"/>
              </w:rPr>
              <w:t>________________________________________</w:t>
            </w:r>
          </w:p>
        </w:tc>
      </w:tr>
    </w:tbl>
    <w:p/>
    <w:p/>
    <w:tbl>
      <w:tblPr>
        <w:tblW w:type="auto" w:w="0"/>
        <w:jc w:val="center"/>
        <w:tblLook w:firstColumn="1" w:firstRow="1" w:lastColumn="0" w:lastRow="0" w:noHBand="0" w:noVBand="1" w:val="04A0"/>
      </w:tblPr>
      <w:tblGrid>
        <w:gridCol w:w="9360"/>
      </w:tblGrid>
      <w:tr>
        <w:tc>
          <w:tcPr>
            <w:tcW w:type="dxa" w:w="9360"/>
            <w:shd w:val="clear" w:color="auto" w:fill="E8F5F7"/>
            <w:tcBorders>
              <w:top w:val="single" w:sz="4" w:color="CCCCCC"/>
              <w:left w:val="single" w:sz="4" w:color="CCCCCC"/>
              <w:bottom w:val="single" w:sz="4" w:color="CCCCCC"/>
              <w:right w:val="single" w:sz="4" w:color="CCCCCC"/>
            </w:tcBorders>
          </w:tcPr>
          <w:p>
            <w:pPr>
              <w:spacing w:before="120" w:after="60"/>
              <w:ind w:left="144"/>
            </w:pPr>
            <w:r>
              <w:rPr>
                <w:rFonts w:ascii="Calibri" w:hAnsi="Calibri"/>
                <w:b/>
                <w:i w:val="0"/>
                <w:color w:val="1A3A5C"/>
                <w:sz w:val="22"/>
              </w:rPr>
              <w:t xml:space="preserve">Subscription Plan Selected:  </w:t>
            </w:r>
            <w:r>
              <w:rPr>
                <w:rFonts w:ascii="Calibri" w:hAnsi="Calibri"/>
                <w:b w:val="0"/>
                <w:i w:val="0"/>
                <w:color w:val="4A4A4A"/>
                <w:sz w:val="22"/>
              </w:rPr>
              <w:t>☐ Hustler ($249/mo)    ☐ Closer ($399/mo)    ☐ Rainmaker ($649/mo)    ☐ Team/Brokerage ($149/agent/mo)</w:t>
            </w:r>
          </w:p>
          <w:p>
            <w:pPr>
              <w:spacing w:before="60" w:after="120"/>
              <w:ind w:left="144"/>
            </w:pPr>
            <w:r>
              <w:rPr>
                <w:rFonts w:ascii="Calibri" w:hAnsi="Calibri"/>
                <w:b/>
                <w:i w:val="0"/>
                <w:color w:val="1A3A5C"/>
                <w:sz w:val="22"/>
              </w:rPr>
              <w:t xml:space="preserve">Billing Start Date:  </w:t>
            </w:r>
            <w:r>
              <w:rPr>
                <w:rFonts w:ascii="Calibri" w:hAnsi="Calibri"/>
                <w:b w:val="0"/>
                <w:i w:val="0"/>
                <w:color w:val="4A4A4A"/>
                <w:sz w:val="22"/>
              </w:rPr>
              <w:t xml:space="preserve">_________________________     Payment Method:  </w:t>
            </w:r>
            <w:r>
              <w:rPr>
                <w:rFonts w:ascii="Calibri" w:hAnsi="Calibri"/>
                <w:b w:val="0"/>
                <w:i w:val="0"/>
                <w:color w:val="4A4A4A"/>
                <w:sz w:val="22"/>
              </w:rPr>
              <w:t>☐ Credit/Debit Card    ☐ Zelle    ☐ ACH</w:t>
            </w:r>
          </w:p>
        </w:tc>
      </w:tr>
    </w:tbl>
    <w:p/>
    <w:p>
      <w:pPr>
        <w:jc w:val="center"/>
      </w:pPr>
      <w:r>
        <w:rPr>
          <w:rFonts w:ascii="Calibri" w:hAnsi="Calibri"/>
          <w:b w:val="0"/>
          <w:i/>
          <w:color w:val="4A4A4A"/>
          <w:sz w:val="18"/>
        </w:rPr>
        <w:t>Closebly  ·  info@closebly.com  ·  closebly.com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